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0"/>
        <w:gridCol w:w="986"/>
      </w:tblGrid>
      <w:tr w:rsidR="00C1646E" w:rsidTr="00C1646E">
        <w:trPr>
          <w:trHeight w:val="432"/>
          <w:jc w:val="center"/>
        </w:trPr>
        <w:tc>
          <w:tcPr>
            <w:tcW w:w="9936" w:type="dxa"/>
            <w:gridSpan w:val="2"/>
            <w:tcBorders>
              <w:top w:val="nil"/>
              <w:left w:val="nil"/>
              <w:bottom w:val="single" w:sz="18" w:space="0" w:color="auto"/>
              <w:right w:val="nil"/>
            </w:tcBorders>
            <w:vAlign w:val="center"/>
            <w:hideMark/>
          </w:tcPr>
          <w:p w:rsidR="00C1646E" w:rsidRDefault="00C1646E" w:rsidP="00C1646E">
            <w:pPr>
              <w:jc w:val="center"/>
              <w:rPr>
                <w:rFonts w:eastAsia="PMingLiU"/>
                <w:sz w:val="22"/>
                <w:szCs w:val="22"/>
              </w:rPr>
            </w:pPr>
            <w:bookmarkStart w:id="0" w:name="_GoBack"/>
            <w:bookmarkEnd w:id="0"/>
            <w:r>
              <w:rPr>
                <w:sz w:val="22"/>
                <w:szCs w:val="22"/>
                <w:u w:val="single"/>
              </w:rPr>
              <w:br w:type="page"/>
            </w:r>
            <w:r>
              <w:rPr>
                <w:rFonts w:eastAsia="PMingLiU"/>
                <w:b/>
                <w:sz w:val="22"/>
                <w:szCs w:val="22"/>
              </w:rPr>
              <w:t xml:space="preserve">Scoring Rubric for: Write a Conclusion </w:t>
            </w:r>
          </w:p>
        </w:tc>
      </w:tr>
      <w:tr w:rsidR="00C1646E" w:rsidTr="00C1646E">
        <w:trPr>
          <w:trHeight w:val="576"/>
          <w:jc w:val="center"/>
        </w:trPr>
        <w:tc>
          <w:tcPr>
            <w:tcW w:w="9936" w:type="dxa"/>
            <w:gridSpan w:val="2"/>
            <w:tcBorders>
              <w:top w:val="single" w:sz="18" w:space="0" w:color="auto"/>
              <w:left w:val="single" w:sz="18" w:space="0" w:color="auto"/>
              <w:bottom w:val="single" w:sz="18" w:space="0" w:color="auto"/>
              <w:right w:val="single" w:sz="18" w:space="0" w:color="auto"/>
            </w:tcBorders>
            <w:vAlign w:val="center"/>
            <w:hideMark/>
          </w:tcPr>
          <w:p w:rsidR="00C1646E" w:rsidRDefault="00C1646E">
            <w:pPr>
              <w:jc w:val="center"/>
              <w:rPr>
                <w:rFonts w:eastAsia="PMingLiU"/>
                <w:b/>
                <w:sz w:val="22"/>
                <w:szCs w:val="22"/>
              </w:rPr>
            </w:pPr>
            <w:r>
              <w:rPr>
                <w:rFonts w:eastAsia="PMingLiU"/>
                <w:b/>
                <w:sz w:val="22"/>
                <w:szCs w:val="22"/>
              </w:rPr>
              <w:t>Attributes of a Conclusion</w:t>
            </w:r>
          </w:p>
          <w:p w:rsidR="00C1646E" w:rsidRDefault="00C1646E">
            <w:pPr>
              <w:jc w:val="center"/>
              <w:rPr>
                <w:rFonts w:eastAsia="PMingLiU"/>
                <w:sz w:val="22"/>
                <w:szCs w:val="22"/>
              </w:rPr>
            </w:pPr>
            <w:r>
              <w:rPr>
                <w:rFonts w:eastAsia="PMingLiU"/>
                <w:sz w:val="22"/>
                <w:szCs w:val="22"/>
              </w:rPr>
              <w:t>Note: The italicized print is the part of the “Example” credited for the attribute.</w:t>
            </w:r>
          </w:p>
        </w:tc>
      </w:tr>
      <w:tr w:rsidR="00C1646E" w:rsidTr="00C1646E">
        <w:trPr>
          <w:trHeight w:val="432"/>
          <w:jc w:val="center"/>
        </w:trPr>
        <w:tc>
          <w:tcPr>
            <w:tcW w:w="8950" w:type="dxa"/>
            <w:tcBorders>
              <w:top w:val="single" w:sz="18" w:space="0" w:color="auto"/>
              <w:left w:val="single" w:sz="18" w:space="0" w:color="auto"/>
              <w:bottom w:val="single" w:sz="18" w:space="0" w:color="auto"/>
              <w:right w:val="single" w:sz="4" w:space="0" w:color="auto"/>
            </w:tcBorders>
            <w:vAlign w:val="center"/>
            <w:hideMark/>
          </w:tcPr>
          <w:p w:rsidR="00C1646E" w:rsidRDefault="00C1646E">
            <w:pPr>
              <w:rPr>
                <w:rFonts w:eastAsia="PMingLiU"/>
                <w:b/>
                <w:sz w:val="22"/>
                <w:szCs w:val="22"/>
              </w:rPr>
            </w:pPr>
            <w:r>
              <w:rPr>
                <w:rFonts w:eastAsia="PMingLiU"/>
                <w:b/>
                <w:sz w:val="22"/>
                <w:szCs w:val="22"/>
              </w:rPr>
              <w:t>Description</w:t>
            </w:r>
          </w:p>
        </w:tc>
        <w:tc>
          <w:tcPr>
            <w:tcW w:w="986" w:type="dxa"/>
            <w:tcBorders>
              <w:top w:val="single" w:sz="18" w:space="0" w:color="auto"/>
              <w:left w:val="single" w:sz="4" w:space="0" w:color="auto"/>
              <w:bottom w:val="single" w:sz="18" w:space="0" w:color="auto"/>
              <w:right w:val="single" w:sz="18" w:space="0" w:color="auto"/>
            </w:tcBorders>
            <w:vAlign w:val="center"/>
            <w:hideMark/>
          </w:tcPr>
          <w:p w:rsidR="00C1646E" w:rsidRDefault="00C1646E">
            <w:pPr>
              <w:ind w:left="-119" w:right="-77"/>
              <w:jc w:val="center"/>
              <w:rPr>
                <w:rFonts w:eastAsia="PMingLiU"/>
                <w:b/>
                <w:sz w:val="22"/>
                <w:szCs w:val="22"/>
              </w:rPr>
            </w:pPr>
            <w:r>
              <w:rPr>
                <w:rFonts w:eastAsia="PMingLiU"/>
                <w:b/>
                <w:sz w:val="22"/>
                <w:szCs w:val="22"/>
              </w:rPr>
              <w:t>Attributes</w:t>
            </w:r>
          </w:p>
        </w:tc>
      </w:tr>
      <w:tr w:rsidR="00C1646E" w:rsidTr="00C1646E">
        <w:trPr>
          <w:trHeight w:val="1125"/>
          <w:jc w:val="center"/>
        </w:trPr>
        <w:tc>
          <w:tcPr>
            <w:tcW w:w="8950" w:type="dxa"/>
            <w:tcBorders>
              <w:top w:val="single" w:sz="18" w:space="0" w:color="auto"/>
              <w:left w:val="single" w:sz="18" w:space="0" w:color="auto"/>
              <w:bottom w:val="single" w:sz="18" w:space="0" w:color="auto"/>
              <w:right w:val="single" w:sz="4" w:space="0" w:color="auto"/>
            </w:tcBorders>
            <w:vAlign w:val="center"/>
            <w:hideMark/>
          </w:tcPr>
          <w:p w:rsidR="00C1646E" w:rsidRPr="00C1646E" w:rsidRDefault="00C1646E" w:rsidP="00C1646E">
            <w:pPr>
              <w:spacing w:after="120"/>
              <w:rPr>
                <w:i/>
                <w:iCs/>
                <w:sz w:val="22"/>
                <w:szCs w:val="22"/>
              </w:rPr>
            </w:pPr>
            <w:r>
              <w:rPr>
                <w:b/>
                <w:sz w:val="22"/>
                <w:szCs w:val="22"/>
              </w:rPr>
              <w:t>Conclusive statement</w:t>
            </w:r>
            <w:r>
              <w:rPr>
                <w:sz w:val="22"/>
                <w:szCs w:val="22"/>
              </w:rPr>
              <w:t xml:space="preserve"> correctly answers the experimental question (or correctly states whether the hypothesis/prediction was correct): </w:t>
            </w:r>
            <w:r>
              <w:rPr>
                <w:i/>
                <w:iCs/>
                <w:color w:val="FF0000"/>
                <w:sz w:val="22"/>
                <w:szCs w:val="22"/>
              </w:rPr>
              <w:t>As the manipulated variable increased, the responding variable increased.</w:t>
            </w:r>
          </w:p>
        </w:tc>
        <w:tc>
          <w:tcPr>
            <w:tcW w:w="986" w:type="dxa"/>
            <w:tcBorders>
              <w:top w:val="single" w:sz="18" w:space="0" w:color="auto"/>
              <w:left w:val="single" w:sz="4" w:space="0" w:color="auto"/>
              <w:bottom w:val="single" w:sz="18" w:space="0" w:color="auto"/>
              <w:right w:val="single" w:sz="18" w:space="0" w:color="auto"/>
            </w:tcBorders>
            <w:vAlign w:val="center"/>
            <w:hideMark/>
          </w:tcPr>
          <w:p w:rsidR="00C1646E" w:rsidRDefault="00C1646E">
            <w:pPr>
              <w:ind w:left="-119"/>
              <w:jc w:val="center"/>
            </w:pPr>
            <w:r>
              <w:t>1</w:t>
            </w:r>
          </w:p>
        </w:tc>
      </w:tr>
      <w:tr w:rsidR="00C1646E" w:rsidTr="00C1646E">
        <w:trPr>
          <w:trHeight w:val="963"/>
          <w:jc w:val="center"/>
        </w:trPr>
        <w:tc>
          <w:tcPr>
            <w:tcW w:w="9936" w:type="dxa"/>
            <w:gridSpan w:val="2"/>
            <w:tcBorders>
              <w:top w:val="single" w:sz="4" w:space="0" w:color="auto"/>
              <w:left w:val="single" w:sz="18" w:space="0" w:color="auto"/>
              <w:bottom w:val="single" w:sz="8" w:space="0" w:color="auto"/>
              <w:right w:val="single" w:sz="18" w:space="0" w:color="auto"/>
            </w:tcBorders>
            <w:vAlign w:val="center"/>
            <w:hideMark/>
          </w:tcPr>
          <w:p w:rsidR="00C1646E" w:rsidRDefault="00C1646E">
            <w:pPr>
              <w:rPr>
                <w:sz w:val="22"/>
              </w:rPr>
            </w:pPr>
            <w:r>
              <w:rPr>
                <w:b/>
                <w:sz w:val="22"/>
              </w:rPr>
              <w:t xml:space="preserve">Supporting data should </w:t>
            </w:r>
            <w:r>
              <w:rPr>
                <w:b/>
                <w:sz w:val="22"/>
                <w:u w:val="single"/>
              </w:rPr>
              <w:t>at least</w:t>
            </w:r>
            <w:r>
              <w:rPr>
                <w:b/>
                <w:sz w:val="22"/>
              </w:rPr>
              <w:t xml:space="preserve"> be over the entire range of the conditions investigated. Thus the minimum reported data are the lowest and highest conditions of the manipulated variable for quantitative data (responding variable when the manipulated variable information is descriptive).</w:t>
            </w:r>
          </w:p>
        </w:tc>
      </w:tr>
      <w:tr w:rsidR="00C1646E" w:rsidTr="00C1646E">
        <w:trPr>
          <w:trHeight w:val="648"/>
          <w:jc w:val="center"/>
        </w:trPr>
        <w:tc>
          <w:tcPr>
            <w:tcW w:w="8950" w:type="dxa"/>
            <w:tcBorders>
              <w:top w:val="single" w:sz="4" w:space="0" w:color="auto"/>
              <w:left w:val="single" w:sz="18" w:space="0" w:color="auto"/>
              <w:bottom w:val="single" w:sz="8" w:space="0" w:color="auto"/>
              <w:right w:val="single" w:sz="4" w:space="0" w:color="auto"/>
            </w:tcBorders>
            <w:vAlign w:val="center"/>
            <w:hideMark/>
          </w:tcPr>
          <w:p w:rsidR="00C1646E" w:rsidRDefault="00C1646E">
            <w:pPr>
              <w:rPr>
                <w:sz w:val="22"/>
                <w:szCs w:val="20"/>
              </w:rPr>
            </w:pPr>
            <w:r>
              <w:rPr>
                <w:b/>
                <w:sz w:val="22"/>
              </w:rPr>
              <w:t xml:space="preserve">Supporting data for </w:t>
            </w:r>
            <w:r>
              <w:rPr>
                <w:b/>
                <w:color w:val="FF0000"/>
                <w:sz w:val="22"/>
              </w:rPr>
              <w:t>lowest condition</w:t>
            </w:r>
            <w:r>
              <w:rPr>
                <w:b/>
                <w:sz w:val="22"/>
              </w:rPr>
              <w:t xml:space="preserve">: </w:t>
            </w:r>
            <w:r>
              <w:rPr>
                <w:i/>
                <w:iCs/>
                <w:color w:val="FF0000"/>
                <w:sz w:val="22"/>
              </w:rPr>
              <w:t xml:space="preserve">When the manipulated variable was </w:t>
            </w:r>
            <w:proofErr w:type="spellStart"/>
            <w:r>
              <w:rPr>
                <w:i/>
                <w:iCs/>
                <w:color w:val="FF0000"/>
                <w:sz w:val="22"/>
              </w:rPr>
              <w:t>X</w:t>
            </w:r>
            <w:r>
              <w:rPr>
                <w:i/>
                <w:iCs/>
                <w:color w:val="FF0000"/>
                <w:sz w:val="22"/>
                <w:vertAlign w:val="subscript"/>
              </w:rPr>
              <w:t>lowest</w:t>
            </w:r>
            <w:proofErr w:type="spellEnd"/>
            <w:r>
              <w:rPr>
                <w:i/>
                <w:iCs/>
                <w:color w:val="FF0000"/>
                <w:sz w:val="22"/>
              </w:rPr>
              <w:t xml:space="preserve">, the responding variable was the lowest, </w:t>
            </w:r>
            <w:proofErr w:type="spellStart"/>
            <w:r>
              <w:rPr>
                <w:i/>
                <w:iCs/>
                <w:color w:val="FF0000"/>
                <w:sz w:val="22"/>
              </w:rPr>
              <w:t>Y</w:t>
            </w:r>
            <w:r>
              <w:rPr>
                <w:i/>
                <w:iCs/>
                <w:color w:val="FF0000"/>
                <w:sz w:val="22"/>
                <w:vertAlign w:val="subscript"/>
              </w:rPr>
              <w:t>lowest</w:t>
            </w:r>
            <w:proofErr w:type="spellEnd"/>
            <w:r>
              <w:rPr>
                <w:i/>
                <w:iCs/>
                <w:color w:val="FF0000"/>
                <w:sz w:val="22"/>
                <w:vertAlign w:val="subscript"/>
              </w:rPr>
              <w:t>.</w:t>
            </w:r>
            <w:r>
              <w:rPr>
                <w:i/>
                <w:iCs/>
                <w:sz w:val="22"/>
              </w:rPr>
              <w:t xml:space="preserve"> </w:t>
            </w:r>
          </w:p>
        </w:tc>
        <w:tc>
          <w:tcPr>
            <w:tcW w:w="986" w:type="dxa"/>
            <w:tcBorders>
              <w:top w:val="single" w:sz="4" w:space="0" w:color="auto"/>
              <w:left w:val="single" w:sz="4" w:space="0" w:color="auto"/>
              <w:bottom w:val="single" w:sz="8" w:space="0" w:color="auto"/>
              <w:right w:val="single" w:sz="18" w:space="0" w:color="auto"/>
            </w:tcBorders>
            <w:vAlign w:val="center"/>
            <w:hideMark/>
          </w:tcPr>
          <w:p w:rsidR="00C1646E" w:rsidRDefault="00C1646E">
            <w:pPr>
              <w:ind w:left="-119"/>
              <w:jc w:val="center"/>
              <w:rPr>
                <w:sz w:val="22"/>
              </w:rPr>
            </w:pPr>
            <w:r>
              <w:rPr>
                <w:sz w:val="22"/>
              </w:rPr>
              <w:t>1</w:t>
            </w:r>
          </w:p>
        </w:tc>
      </w:tr>
      <w:tr w:rsidR="00C1646E" w:rsidTr="00C1646E">
        <w:trPr>
          <w:trHeight w:val="648"/>
          <w:jc w:val="center"/>
        </w:trPr>
        <w:tc>
          <w:tcPr>
            <w:tcW w:w="8950" w:type="dxa"/>
            <w:tcBorders>
              <w:top w:val="single" w:sz="4" w:space="0" w:color="auto"/>
              <w:left w:val="single" w:sz="18" w:space="0" w:color="auto"/>
              <w:bottom w:val="single" w:sz="18" w:space="0" w:color="auto"/>
              <w:right w:val="single" w:sz="4" w:space="0" w:color="auto"/>
            </w:tcBorders>
            <w:vAlign w:val="center"/>
            <w:hideMark/>
          </w:tcPr>
          <w:p w:rsidR="00C1646E" w:rsidRDefault="00C1646E">
            <w:pPr>
              <w:rPr>
                <w:b/>
                <w:sz w:val="22"/>
              </w:rPr>
            </w:pPr>
            <w:r>
              <w:rPr>
                <w:b/>
                <w:sz w:val="22"/>
              </w:rPr>
              <w:t xml:space="preserve">Supporting data for </w:t>
            </w:r>
            <w:r>
              <w:rPr>
                <w:b/>
                <w:color w:val="FF0000"/>
                <w:sz w:val="22"/>
              </w:rPr>
              <w:t>highest condition</w:t>
            </w:r>
            <w:r>
              <w:rPr>
                <w:b/>
                <w:sz w:val="22"/>
              </w:rPr>
              <w:t xml:space="preserve">: </w:t>
            </w:r>
            <w:r>
              <w:rPr>
                <w:i/>
                <w:iCs/>
                <w:color w:val="FF0000"/>
                <w:sz w:val="22"/>
              </w:rPr>
              <w:t xml:space="preserve">When the manipulated variable was </w:t>
            </w:r>
            <w:proofErr w:type="spellStart"/>
            <w:r>
              <w:rPr>
                <w:i/>
                <w:iCs/>
                <w:color w:val="FF0000"/>
                <w:sz w:val="22"/>
              </w:rPr>
              <w:t>X</w:t>
            </w:r>
            <w:r>
              <w:rPr>
                <w:i/>
                <w:iCs/>
                <w:color w:val="FF0000"/>
                <w:sz w:val="22"/>
                <w:vertAlign w:val="subscript"/>
              </w:rPr>
              <w:t>highest</w:t>
            </w:r>
            <w:proofErr w:type="spellEnd"/>
            <w:r>
              <w:rPr>
                <w:i/>
                <w:iCs/>
                <w:color w:val="FF0000"/>
                <w:sz w:val="22"/>
              </w:rPr>
              <w:t xml:space="preserve">, the responding variable was </w:t>
            </w:r>
            <w:proofErr w:type="spellStart"/>
            <w:r>
              <w:rPr>
                <w:i/>
                <w:iCs/>
                <w:color w:val="FF0000"/>
                <w:sz w:val="22"/>
              </w:rPr>
              <w:t>Y</w:t>
            </w:r>
            <w:r>
              <w:rPr>
                <w:i/>
                <w:iCs/>
                <w:color w:val="FF0000"/>
                <w:sz w:val="22"/>
                <w:vertAlign w:val="subscript"/>
              </w:rPr>
              <w:t>highest</w:t>
            </w:r>
            <w:proofErr w:type="spellEnd"/>
            <w:r>
              <w:rPr>
                <w:i/>
                <w:iCs/>
                <w:color w:val="FF0000"/>
                <w:sz w:val="22"/>
              </w:rPr>
              <w:t>.</w:t>
            </w:r>
          </w:p>
        </w:tc>
        <w:tc>
          <w:tcPr>
            <w:tcW w:w="986" w:type="dxa"/>
            <w:tcBorders>
              <w:top w:val="single" w:sz="4" w:space="0" w:color="auto"/>
              <w:left w:val="single" w:sz="4" w:space="0" w:color="auto"/>
              <w:bottom w:val="single" w:sz="18" w:space="0" w:color="auto"/>
              <w:right w:val="single" w:sz="18" w:space="0" w:color="auto"/>
            </w:tcBorders>
            <w:vAlign w:val="center"/>
            <w:hideMark/>
          </w:tcPr>
          <w:p w:rsidR="00C1646E" w:rsidRDefault="00C1646E">
            <w:pPr>
              <w:ind w:left="-119"/>
              <w:jc w:val="center"/>
              <w:rPr>
                <w:sz w:val="22"/>
              </w:rPr>
            </w:pPr>
            <w:r>
              <w:rPr>
                <w:sz w:val="22"/>
              </w:rPr>
              <w:t>1</w:t>
            </w:r>
          </w:p>
        </w:tc>
      </w:tr>
      <w:tr w:rsidR="00C1646E" w:rsidTr="00C1646E">
        <w:trPr>
          <w:trHeight w:val="846"/>
          <w:jc w:val="center"/>
        </w:trPr>
        <w:tc>
          <w:tcPr>
            <w:tcW w:w="8950" w:type="dxa"/>
            <w:tcBorders>
              <w:top w:val="single" w:sz="18" w:space="0" w:color="auto"/>
              <w:left w:val="single" w:sz="18" w:space="0" w:color="auto"/>
              <w:bottom w:val="single" w:sz="18" w:space="0" w:color="auto"/>
              <w:right w:val="single" w:sz="4" w:space="0" w:color="auto"/>
            </w:tcBorders>
            <w:vAlign w:val="center"/>
            <w:hideMark/>
          </w:tcPr>
          <w:p w:rsidR="00C1646E" w:rsidRDefault="00C1646E">
            <w:pPr>
              <w:spacing w:after="120"/>
              <w:rPr>
                <w:i/>
                <w:iCs/>
                <w:sz w:val="22"/>
              </w:rPr>
            </w:pPr>
            <w:r>
              <w:rPr>
                <w:b/>
                <w:sz w:val="22"/>
              </w:rPr>
              <w:t>Explanatory language</w:t>
            </w:r>
            <w:r>
              <w:rPr>
                <w:sz w:val="22"/>
              </w:rPr>
              <w:t>, separate from the conclusive statement, is used to connect or compare the supporting data to the conclusive statement:</w:t>
            </w:r>
            <w:r>
              <w:rPr>
                <w:i/>
                <w:color w:val="FF0000"/>
                <w:sz w:val="22"/>
              </w:rPr>
              <w:t xml:space="preserve"> </w:t>
            </w:r>
            <w:r>
              <w:rPr>
                <w:i/>
                <w:iCs/>
                <w:color w:val="FF0000"/>
                <w:sz w:val="22"/>
                <w:szCs w:val="22"/>
              </w:rPr>
              <w:t>So changing the manipulated variable by X caused the responding variable to increase/decrease by Y.</w:t>
            </w:r>
          </w:p>
          <w:p w:rsidR="00C1646E" w:rsidRDefault="00C1646E" w:rsidP="00C1646E">
            <w:pPr>
              <w:ind w:left="288"/>
            </w:pPr>
          </w:p>
        </w:tc>
        <w:tc>
          <w:tcPr>
            <w:tcW w:w="986" w:type="dxa"/>
            <w:tcBorders>
              <w:top w:val="single" w:sz="18" w:space="0" w:color="auto"/>
              <w:left w:val="single" w:sz="4" w:space="0" w:color="auto"/>
              <w:bottom w:val="single" w:sz="18" w:space="0" w:color="auto"/>
              <w:right w:val="single" w:sz="18" w:space="0" w:color="auto"/>
            </w:tcBorders>
            <w:vAlign w:val="center"/>
            <w:hideMark/>
          </w:tcPr>
          <w:p w:rsidR="00C1646E" w:rsidRDefault="00C1646E">
            <w:pPr>
              <w:ind w:left="-119"/>
              <w:jc w:val="center"/>
            </w:pPr>
            <w:r>
              <w:rPr>
                <w:sz w:val="22"/>
              </w:rPr>
              <w:t>1</w:t>
            </w:r>
          </w:p>
        </w:tc>
      </w:tr>
      <w:tr w:rsidR="00C1646E" w:rsidTr="00C1646E">
        <w:trPr>
          <w:trHeight w:val="819"/>
          <w:jc w:val="center"/>
        </w:trPr>
        <w:tc>
          <w:tcPr>
            <w:tcW w:w="8950" w:type="dxa"/>
            <w:tcBorders>
              <w:top w:val="single" w:sz="18" w:space="0" w:color="auto"/>
              <w:left w:val="single" w:sz="18" w:space="0" w:color="auto"/>
              <w:bottom w:val="single" w:sz="18" w:space="0" w:color="auto"/>
              <w:right w:val="single" w:sz="4" w:space="0" w:color="auto"/>
            </w:tcBorders>
            <w:vAlign w:val="center"/>
          </w:tcPr>
          <w:p w:rsidR="00C1646E" w:rsidRDefault="00C1646E">
            <w:pPr>
              <w:spacing w:after="120"/>
              <w:rPr>
                <w:b/>
                <w:sz w:val="22"/>
              </w:rPr>
            </w:pPr>
            <w:r>
              <w:rPr>
                <w:b/>
                <w:sz w:val="22"/>
                <w:szCs w:val="22"/>
              </w:rPr>
              <w:t xml:space="preserve">Scientific Explanation </w:t>
            </w:r>
            <w:r>
              <w:rPr>
                <w:sz w:val="22"/>
                <w:szCs w:val="22"/>
              </w:rPr>
              <w:t>provides a plausible scientific reason that explains the trend seen in the data table in terms of established scientific knowledge.</w:t>
            </w:r>
          </w:p>
        </w:tc>
        <w:tc>
          <w:tcPr>
            <w:tcW w:w="986" w:type="dxa"/>
            <w:tcBorders>
              <w:top w:val="single" w:sz="18" w:space="0" w:color="auto"/>
              <w:left w:val="single" w:sz="4" w:space="0" w:color="auto"/>
              <w:bottom w:val="single" w:sz="18" w:space="0" w:color="auto"/>
              <w:right w:val="single" w:sz="18" w:space="0" w:color="auto"/>
            </w:tcBorders>
            <w:vAlign w:val="center"/>
          </w:tcPr>
          <w:p w:rsidR="00C1646E" w:rsidRDefault="00C1646E">
            <w:pPr>
              <w:ind w:left="-119"/>
              <w:jc w:val="center"/>
              <w:rPr>
                <w:sz w:val="22"/>
              </w:rPr>
            </w:pPr>
            <w:r>
              <w:rPr>
                <w:sz w:val="22"/>
              </w:rPr>
              <w:t>1</w:t>
            </w:r>
          </w:p>
        </w:tc>
      </w:tr>
      <w:tr w:rsidR="00C1646E" w:rsidTr="0046181E">
        <w:trPr>
          <w:trHeight w:val="315"/>
          <w:jc w:val="center"/>
        </w:trPr>
        <w:tc>
          <w:tcPr>
            <w:tcW w:w="8950" w:type="dxa"/>
            <w:tcBorders>
              <w:top w:val="single" w:sz="18" w:space="0" w:color="auto"/>
              <w:left w:val="single" w:sz="18" w:space="0" w:color="auto"/>
              <w:bottom w:val="single" w:sz="18" w:space="0" w:color="auto"/>
              <w:right w:val="single" w:sz="4" w:space="0" w:color="auto"/>
            </w:tcBorders>
            <w:vAlign w:val="center"/>
          </w:tcPr>
          <w:p w:rsidR="00C1646E" w:rsidRDefault="00C1646E">
            <w:pPr>
              <w:spacing w:after="120"/>
              <w:rPr>
                <w:b/>
                <w:sz w:val="22"/>
                <w:szCs w:val="22"/>
              </w:rPr>
            </w:pPr>
          </w:p>
        </w:tc>
        <w:tc>
          <w:tcPr>
            <w:tcW w:w="986" w:type="dxa"/>
            <w:tcBorders>
              <w:top w:val="single" w:sz="18" w:space="0" w:color="auto"/>
              <w:left w:val="single" w:sz="4" w:space="0" w:color="auto"/>
              <w:bottom w:val="single" w:sz="18" w:space="0" w:color="auto"/>
              <w:right w:val="single" w:sz="18" w:space="0" w:color="auto"/>
            </w:tcBorders>
            <w:vAlign w:val="center"/>
          </w:tcPr>
          <w:p w:rsidR="00C1646E" w:rsidRDefault="00C1646E">
            <w:pPr>
              <w:ind w:left="-119"/>
              <w:jc w:val="center"/>
              <w:rPr>
                <w:sz w:val="22"/>
              </w:rPr>
            </w:pPr>
            <w:r>
              <w:rPr>
                <w:sz w:val="22"/>
              </w:rPr>
              <w:t>5</w:t>
            </w:r>
          </w:p>
        </w:tc>
      </w:tr>
    </w:tbl>
    <w:p w:rsidR="00C1646E" w:rsidRDefault="00C1646E" w:rsidP="00C1646E"/>
    <w:sectPr w:rsidR="00C1646E" w:rsidSect="004618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B0DCC"/>
    <w:multiLevelType w:val="hybridMultilevel"/>
    <w:tmpl w:val="FE082D8A"/>
    <w:lvl w:ilvl="0" w:tplc="155EF454">
      <w:start w:val="1"/>
      <w:numFmt w:val="decimal"/>
      <w:lvlText w:val="%1."/>
      <w:lvlJc w:val="left"/>
      <w:pPr>
        <w:tabs>
          <w:tab w:val="num" w:pos="288"/>
        </w:tabs>
        <w:ind w:left="288" w:hanging="288"/>
      </w:pPr>
      <w:rPr>
        <w:b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76B42ECB"/>
    <w:multiLevelType w:val="hybridMultilevel"/>
    <w:tmpl w:val="C770AD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78900B47"/>
    <w:multiLevelType w:val="hybridMultilevel"/>
    <w:tmpl w:val="B400FF22"/>
    <w:lvl w:ilvl="0" w:tplc="755A979A">
      <w:start w:val="1"/>
      <w:numFmt w:val="decimal"/>
      <w:lvlText w:val="%1."/>
      <w:lvlJc w:val="left"/>
      <w:pPr>
        <w:tabs>
          <w:tab w:val="num" w:pos="288"/>
        </w:tabs>
        <w:ind w:left="288" w:hanging="288"/>
      </w:pPr>
      <w:rPr>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46E"/>
    <w:rsid w:val="002A6091"/>
    <w:rsid w:val="0046181E"/>
    <w:rsid w:val="00C1646E"/>
    <w:rsid w:val="00C52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4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C1646E"/>
    <w:rPr>
      <w:sz w:val="20"/>
      <w:szCs w:val="20"/>
    </w:rPr>
  </w:style>
  <w:style w:type="character" w:customStyle="1" w:styleId="CommentTextChar">
    <w:name w:val="Comment Text Char"/>
    <w:basedOn w:val="DefaultParagraphFont"/>
    <w:link w:val="CommentText"/>
    <w:rsid w:val="00C1646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4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C1646E"/>
    <w:rPr>
      <w:sz w:val="20"/>
      <w:szCs w:val="20"/>
    </w:rPr>
  </w:style>
  <w:style w:type="character" w:customStyle="1" w:styleId="CommentTextChar">
    <w:name w:val="Comment Text Char"/>
    <w:basedOn w:val="DefaultParagraphFont"/>
    <w:link w:val="CommentText"/>
    <w:rsid w:val="00C1646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643181">
      <w:bodyDiv w:val="1"/>
      <w:marLeft w:val="0"/>
      <w:marRight w:val="0"/>
      <w:marTop w:val="0"/>
      <w:marBottom w:val="0"/>
      <w:divBdr>
        <w:top w:val="none" w:sz="0" w:space="0" w:color="auto"/>
        <w:left w:val="none" w:sz="0" w:space="0" w:color="auto"/>
        <w:bottom w:val="none" w:sz="0" w:space="0" w:color="auto"/>
        <w:right w:val="none" w:sz="0" w:space="0" w:color="auto"/>
      </w:divBdr>
    </w:div>
    <w:div w:id="163521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Grant, Lauren    SHS - Staff</cp:lastModifiedBy>
  <cp:revision>2</cp:revision>
  <cp:lastPrinted>2014-04-15T22:30:00Z</cp:lastPrinted>
  <dcterms:created xsi:type="dcterms:W3CDTF">2016-05-23T20:48:00Z</dcterms:created>
  <dcterms:modified xsi:type="dcterms:W3CDTF">2016-05-23T20:48:00Z</dcterms:modified>
</cp:coreProperties>
</file>